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5E0" w:rsidRPr="00274876" w:rsidRDefault="00C96AAB" w:rsidP="00190546">
      <w:pPr>
        <w:jc w:val="center"/>
        <w:rPr>
          <w:b/>
          <w:sz w:val="28"/>
        </w:rPr>
      </w:pPr>
      <w:r w:rsidRPr="00274876">
        <w:rPr>
          <w:b/>
          <w:sz w:val="28"/>
        </w:rPr>
        <w:t>The AARP Age-Friendly Communities Tool Kit</w:t>
      </w:r>
    </w:p>
    <w:p w:rsidR="00C96AAB" w:rsidRDefault="00C96AAB" w:rsidP="00190546">
      <w:pPr>
        <w:rPr>
          <w:b/>
        </w:rPr>
      </w:pPr>
      <w:r>
        <w:rPr>
          <w:b/>
        </w:rPr>
        <w:t>Step 1: Getting Started</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Cities, towns and other localities in the AARP Network of Age-Friendly Communities program commit to improving their age-friendliness and submit to a rigorous membership assessment cycle.</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Communities interested in joining the network are encouraged to contact their state AARP office. AARP state offices also work to identify cities, towns and counties AARP believes can commit to a continual cycle of improvement in the eight domains the World Health Organization (WHO) has identified as influencing the health and quality of life of older adults.</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The domains are listed below and are detailed in the </w:t>
      </w:r>
      <w:hyperlink r:id="rId6" w:history="1">
        <w:r w:rsidRPr="00C96AAB">
          <w:rPr>
            <w:rFonts w:ascii="Arial" w:eastAsia="Times New Roman" w:hAnsi="Arial" w:cs="Arial"/>
            <w:color w:val="336699"/>
            <w:sz w:val="20"/>
            <w:szCs w:val="20"/>
            <w:bdr w:val="none" w:sz="0" w:space="0" w:color="auto" w:frame="1"/>
          </w:rPr>
          <w:t>AARP Livable Communities Slideshow: The 8 Domains of Livability</w:t>
        </w:r>
      </w:hyperlink>
      <w:r w:rsidRPr="00C96AAB">
        <w:rPr>
          <w:rFonts w:ascii="Arial" w:eastAsia="Times New Roman" w:hAnsi="Arial" w:cs="Arial"/>
          <w:color w:val="2B2B2B"/>
          <w:sz w:val="20"/>
          <w:szCs w:val="20"/>
        </w:rPr>
        <w:t>.</w:t>
      </w:r>
      <w:bookmarkStart w:id="0" w:name="_GoBack"/>
      <w:bookmarkEnd w:id="0"/>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Outdoor spaces and buildings</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Transportation</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Housing</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Social participation</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Respect and social inclusion</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Civic participation and employment</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Communication and information</w:t>
      </w:r>
    </w:p>
    <w:p w:rsidR="00C96AAB" w:rsidRPr="00190546" w:rsidRDefault="00C96AAB" w:rsidP="00190546">
      <w:pPr>
        <w:pStyle w:val="ListParagraph"/>
        <w:numPr>
          <w:ilvl w:val="0"/>
          <w:numId w:val="13"/>
        </w:numPr>
        <w:rPr>
          <w:rFonts w:ascii="Arial" w:eastAsia="Times New Roman" w:hAnsi="Arial" w:cs="Arial"/>
          <w:b/>
          <w:color w:val="2B2B2B"/>
          <w:sz w:val="20"/>
          <w:szCs w:val="20"/>
        </w:rPr>
      </w:pPr>
      <w:r w:rsidRPr="00190546">
        <w:rPr>
          <w:rFonts w:ascii="Arial" w:eastAsia="Times New Roman" w:hAnsi="Arial" w:cs="Arial"/>
          <w:b/>
          <w:color w:val="2B2B2B"/>
          <w:sz w:val="20"/>
          <w:szCs w:val="20"/>
        </w:rPr>
        <w:t>Community support and health services</w:t>
      </w:r>
    </w:p>
    <w:p w:rsidR="00AB057E" w:rsidRDefault="00AB057E" w:rsidP="00190546">
      <w:pPr>
        <w:rPr>
          <w:rFonts w:ascii="Arial" w:hAnsi="Arial" w:cs="Arial"/>
          <w:color w:val="2B2B2B"/>
          <w:sz w:val="20"/>
          <w:szCs w:val="20"/>
        </w:rPr>
      </w:pPr>
      <w:r>
        <w:rPr>
          <w:rFonts w:ascii="Arial" w:hAnsi="Arial" w:cs="Arial"/>
          <w:color w:val="2B2B2B"/>
          <w:sz w:val="20"/>
          <w:szCs w:val="20"/>
        </w:rPr>
        <w:t>Indicators in the World Health Organization domains that also reflect the social impact objectives of AARP include:</w:t>
      </w:r>
    </w:p>
    <w:p w:rsidR="00AB057E" w:rsidRDefault="00AB057E" w:rsidP="00190546">
      <w:pPr>
        <w:rPr>
          <w:rFonts w:ascii="Arial" w:hAnsi="Arial" w:cs="Arial"/>
          <w:color w:val="2B2B2B"/>
          <w:sz w:val="20"/>
          <w:szCs w:val="20"/>
        </w:rPr>
      </w:pPr>
      <w:r>
        <w:rPr>
          <w:rFonts w:ascii="Arial" w:hAnsi="Arial" w:cs="Arial"/>
          <w:color w:val="2B2B2B"/>
          <w:sz w:val="20"/>
          <w:szCs w:val="20"/>
        </w:rPr>
        <w:t>Increasing awareness about what the age 50+ population needs in order to maintain active, healthy and productive lives where they live</w:t>
      </w:r>
    </w:p>
    <w:p w:rsidR="00AB057E" w:rsidRDefault="00AB057E" w:rsidP="00190546">
      <w:pPr>
        <w:rPr>
          <w:rFonts w:ascii="Arial" w:hAnsi="Arial" w:cs="Arial"/>
          <w:color w:val="2B2B2B"/>
          <w:sz w:val="20"/>
          <w:szCs w:val="20"/>
        </w:rPr>
      </w:pPr>
      <w:r>
        <w:rPr>
          <w:rFonts w:ascii="Arial" w:hAnsi="Arial" w:cs="Arial"/>
          <w:color w:val="2B2B2B"/>
          <w:sz w:val="20"/>
          <w:szCs w:val="20"/>
        </w:rPr>
        <w:t>Fostering dialogue, knowledge and actions that support the development of age-friendly communities across the United States</w:t>
      </w:r>
    </w:p>
    <w:p w:rsidR="00AB057E" w:rsidRDefault="00AB057E" w:rsidP="00190546">
      <w:pPr>
        <w:rPr>
          <w:rFonts w:ascii="Arial" w:hAnsi="Arial" w:cs="Arial"/>
          <w:color w:val="2B2B2B"/>
          <w:sz w:val="20"/>
          <w:szCs w:val="20"/>
        </w:rPr>
      </w:pPr>
      <w:r>
        <w:rPr>
          <w:rFonts w:ascii="Arial" w:hAnsi="Arial" w:cs="Arial"/>
          <w:color w:val="2B2B2B"/>
          <w:sz w:val="20"/>
          <w:szCs w:val="20"/>
        </w:rPr>
        <w:t>Being an age-friendly community requires a commitment to a cycle of continuous improvements. The “Getting Started” phase of the program typically lasts one or two years.</w:t>
      </w:r>
    </w:p>
    <w:p w:rsidR="00AB057E" w:rsidRDefault="00AB057E" w:rsidP="00190546">
      <w:pPr>
        <w:rPr>
          <w:rFonts w:ascii="Arial" w:hAnsi="Arial" w:cs="Arial"/>
          <w:color w:val="4C4C4C"/>
          <w:sz w:val="21"/>
          <w:szCs w:val="21"/>
        </w:rPr>
      </w:pPr>
      <w:r>
        <w:rPr>
          <w:rFonts w:ascii="Arial" w:hAnsi="Arial" w:cs="Arial"/>
          <w:color w:val="4C4C4C"/>
          <w:sz w:val="21"/>
          <w:szCs w:val="21"/>
          <w:bdr w:val="none" w:sz="0" w:space="0" w:color="auto" w:frame="1"/>
        </w:rPr>
        <w:t>Initiating the effort requires the following steps:</w:t>
      </w:r>
    </w:p>
    <w:p w:rsidR="00AB057E" w:rsidRDefault="00AB057E" w:rsidP="00190546">
      <w:pPr>
        <w:rPr>
          <w:rFonts w:ascii="Arial" w:hAnsi="Arial" w:cs="Arial"/>
          <w:color w:val="2B2B2B"/>
          <w:sz w:val="20"/>
          <w:szCs w:val="20"/>
        </w:rPr>
      </w:pPr>
      <w:r>
        <w:rPr>
          <w:rFonts w:ascii="Arial" w:hAnsi="Arial" w:cs="Arial"/>
          <w:b/>
          <w:bCs/>
          <w:color w:val="2B2B2B"/>
          <w:sz w:val="20"/>
          <w:szCs w:val="20"/>
          <w:bdr w:val="none" w:sz="0" w:space="0" w:color="auto" w:frame="1"/>
        </w:rPr>
        <w:t>1. Obtain the political commitment of the community’s elected officials</w:t>
      </w:r>
    </w:p>
    <w:p w:rsidR="00AB057E" w:rsidRDefault="00AB057E" w:rsidP="00190546">
      <w:pPr>
        <w:rPr>
          <w:rFonts w:ascii="Arial" w:hAnsi="Arial" w:cs="Arial"/>
          <w:color w:val="2B2B2B"/>
          <w:sz w:val="20"/>
          <w:szCs w:val="20"/>
        </w:rPr>
      </w:pPr>
      <w:r>
        <w:rPr>
          <w:rFonts w:ascii="Arial" w:hAnsi="Arial" w:cs="Arial"/>
          <w:color w:val="2B2B2B"/>
          <w:sz w:val="20"/>
          <w:szCs w:val="20"/>
        </w:rPr>
        <w:t>This includes acquiring a written pledge by the community executive (the mayor, county commissioner, etc.) to commit to a continual cycle of improvement. This letter, along with a membership application, should be sent to the community’s AARP state office or the AARP representative the community has been working with. AARP will then advise the World Health Organization’s Global Network of Age-Friendly Cities and Communities.</w:t>
      </w:r>
    </w:p>
    <w:p w:rsidR="00AB057E" w:rsidRDefault="00AB057E" w:rsidP="00190546">
      <w:pPr>
        <w:rPr>
          <w:rFonts w:ascii="Arial" w:hAnsi="Arial" w:cs="Arial"/>
          <w:color w:val="2B2B2B"/>
          <w:sz w:val="20"/>
          <w:szCs w:val="20"/>
        </w:rPr>
      </w:pPr>
      <w:r>
        <w:rPr>
          <w:rFonts w:ascii="Arial" w:hAnsi="Arial" w:cs="Arial"/>
          <w:b/>
          <w:bCs/>
          <w:color w:val="2B2B2B"/>
          <w:sz w:val="20"/>
          <w:szCs w:val="20"/>
          <w:bdr w:val="none" w:sz="0" w:space="0" w:color="auto" w:frame="1"/>
        </w:rPr>
        <w:t>2. Organize stakeholders</w:t>
      </w:r>
    </w:p>
    <w:p w:rsidR="00AB057E" w:rsidRDefault="00AB057E" w:rsidP="00190546">
      <w:pPr>
        <w:rPr>
          <w:rFonts w:ascii="Arial" w:hAnsi="Arial" w:cs="Arial"/>
          <w:color w:val="2B2B2B"/>
          <w:sz w:val="20"/>
          <w:szCs w:val="20"/>
        </w:rPr>
      </w:pPr>
      <w:r>
        <w:rPr>
          <w:rFonts w:ascii="Arial" w:hAnsi="Arial" w:cs="Arial"/>
          <w:b/>
          <w:bCs/>
          <w:color w:val="2B2B2B"/>
          <w:sz w:val="20"/>
          <w:szCs w:val="20"/>
          <w:bdr w:val="none" w:sz="0" w:space="0" w:color="auto" w:frame="1"/>
        </w:rPr>
        <w:t> </w:t>
      </w:r>
      <w:r>
        <w:rPr>
          <w:rFonts w:ascii="Arial" w:hAnsi="Arial" w:cs="Arial"/>
          <w:color w:val="2B2B2B"/>
          <w:sz w:val="20"/>
          <w:szCs w:val="20"/>
        </w:rPr>
        <w:t>A successful age-friendly initiative is based on broad collaboration. An ideal group of stakeholders would include representation from non-profit organizations, businesses, government agencies and community partners and, of course age-50+ residents.</w:t>
      </w:r>
    </w:p>
    <w:p w:rsidR="00AB057E" w:rsidRDefault="00AB057E" w:rsidP="00190546">
      <w:pPr>
        <w:rPr>
          <w:rFonts w:ascii="Arial" w:hAnsi="Arial" w:cs="Arial"/>
          <w:color w:val="2B2B2B"/>
          <w:sz w:val="20"/>
          <w:szCs w:val="20"/>
        </w:rPr>
      </w:pPr>
      <w:r>
        <w:rPr>
          <w:rFonts w:ascii="Arial" w:hAnsi="Arial" w:cs="Arial"/>
          <w:b/>
          <w:bCs/>
          <w:color w:val="2B2B2B"/>
          <w:sz w:val="20"/>
          <w:szCs w:val="20"/>
          <w:bdr w:val="none" w:sz="0" w:space="0" w:color="auto" w:frame="1"/>
        </w:rPr>
        <w:lastRenderedPageBreak/>
        <w:t>3. Conduct assessments to identify needs</w:t>
      </w:r>
    </w:p>
    <w:p w:rsidR="00AB057E" w:rsidRDefault="00AB057E" w:rsidP="00190546">
      <w:pPr>
        <w:rPr>
          <w:rFonts w:ascii="Arial" w:hAnsi="Arial" w:cs="Arial"/>
          <w:color w:val="2B2B2B"/>
          <w:sz w:val="20"/>
          <w:szCs w:val="20"/>
        </w:rPr>
      </w:pPr>
      <w:r>
        <w:rPr>
          <w:rFonts w:ascii="Arial" w:hAnsi="Arial" w:cs="Arial"/>
          <w:color w:val="2B2B2B"/>
          <w:sz w:val="20"/>
          <w:szCs w:val="20"/>
        </w:rPr>
        <w:t>AARP has developed a survey that can be adapted by communities to help assess available resources and what residents view as important for successfully aging in place. The survey is designed to capture information consistent with the eight domains of a livable community as identified by the</w:t>
      </w:r>
      <w:r>
        <w:rPr>
          <w:rStyle w:val="apple-converted-space"/>
          <w:rFonts w:ascii="Arial" w:hAnsi="Arial" w:cs="Arial"/>
          <w:color w:val="2B2B2B"/>
          <w:sz w:val="20"/>
          <w:szCs w:val="20"/>
        </w:rPr>
        <w:t> </w:t>
      </w:r>
      <w:hyperlink r:id="rId7" w:history="1">
        <w:r>
          <w:rPr>
            <w:rStyle w:val="Hyperlink"/>
            <w:rFonts w:ascii="Arial" w:hAnsi="Arial" w:cs="Arial"/>
            <w:color w:val="336699"/>
            <w:sz w:val="20"/>
            <w:szCs w:val="20"/>
            <w:u w:val="none"/>
            <w:bdr w:val="none" w:sz="0" w:space="0" w:color="auto" w:frame="1"/>
          </w:rPr>
          <w:t>World Health Organization.</w:t>
        </w:r>
      </w:hyperlink>
    </w:p>
    <w:p w:rsidR="00AB057E" w:rsidRPr="00AB057E" w:rsidRDefault="00AB057E" w:rsidP="00190546">
      <w:pPr>
        <w:rPr>
          <w:rFonts w:ascii="Arial" w:eastAsia="Times New Roman" w:hAnsi="Arial" w:cs="Arial"/>
          <w:color w:val="2B2B2B"/>
          <w:sz w:val="20"/>
          <w:szCs w:val="20"/>
        </w:rPr>
      </w:pPr>
      <w:r w:rsidRPr="00AB057E">
        <w:rPr>
          <w:rFonts w:ascii="Arial" w:eastAsia="Times New Roman" w:hAnsi="Arial" w:cs="Arial"/>
          <w:b/>
          <w:bCs/>
          <w:color w:val="2B2B2B"/>
          <w:sz w:val="20"/>
          <w:szCs w:val="20"/>
          <w:bdr w:val="none" w:sz="0" w:space="0" w:color="auto" w:frame="1"/>
        </w:rPr>
        <w:t>4. Establish an advisory committee that includes older adults</w:t>
      </w:r>
    </w:p>
    <w:p w:rsidR="00AB057E" w:rsidRPr="00AB057E" w:rsidRDefault="00274876" w:rsidP="00190546">
      <w:pPr>
        <w:rPr>
          <w:rFonts w:ascii="Arial" w:eastAsia="Times New Roman" w:hAnsi="Arial" w:cs="Arial"/>
          <w:color w:val="2B2B2B"/>
          <w:sz w:val="20"/>
          <w:szCs w:val="20"/>
        </w:rPr>
      </w:pPr>
      <w:hyperlink r:id="rId8" w:history="1">
        <w:r w:rsidR="00AB057E" w:rsidRPr="00AB057E">
          <w:rPr>
            <w:rFonts w:ascii="Arial" w:eastAsia="Times New Roman" w:hAnsi="Arial" w:cs="Arial"/>
            <w:color w:val="336699"/>
            <w:sz w:val="20"/>
            <w:szCs w:val="20"/>
            <w:bdr w:val="none" w:sz="0" w:space="0" w:color="auto" w:frame="1"/>
          </w:rPr>
          <w:t>AARP state office</w:t>
        </w:r>
      </w:hyperlink>
      <w:r w:rsidR="00AB057E" w:rsidRPr="00AB057E">
        <w:rPr>
          <w:rFonts w:ascii="Arial" w:eastAsia="Times New Roman" w:hAnsi="Arial" w:cs="Arial"/>
          <w:color w:val="2B2B2B"/>
          <w:sz w:val="20"/>
          <w:szCs w:val="20"/>
        </w:rPr>
        <w:t> staff members and volunteers can help.</w:t>
      </w:r>
    </w:p>
    <w:p w:rsidR="00AB057E" w:rsidRPr="00AB057E" w:rsidRDefault="00AB057E" w:rsidP="00190546">
      <w:pPr>
        <w:rPr>
          <w:rFonts w:ascii="Arial" w:eastAsia="Times New Roman" w:hAnsi="Arial" w:cs="Arial"/>
          <w:color w:val="2B2B2B"/>
          <w:sz w:val="20"/>
          <w:szCs w:val="20"/>
        </w:rPr>
      </w:pPr>
      <w:r w:rsidRPr="00AB057E">
        <w:rPr>
          <w:rFonts w:ascii="Arial" w:eastAsia="Times New Roman" w:hAnsi="Arial" w:cs="Arial"/>
          <w:color w:val="2B2B2B"/>
          <w:sz w:val="20"/>
          <w:szCs w:val="20"/>
        </w:rPr>
        <w:t>The ultimate goal of the AARP Network of Age-Friendly Communities is to increase the number of communities that support healthy aging, which will thereby improve the health, well-being, satisfaction and quality of life for older Americans. In an age-friendly community, policies, services, settings and structures support and enable people remain active as they age. This is achieved by:</w:t>
      </w:r>
    </w:p>
    <w:p w:rsidR="00AB057E" w:rsidRPr="00190546" w:rsidRDefault="00AB057E" w:rsidP="00190546">
      <w:pPr>
        <w:pStyle w:val="ListParagraph"/>
        <w:numPr>
          <w:ilvl w:val="0"/>
          <w:numId w:val="14"/>
        </w:numPr>
        <w:rPr>
          <w:rFonts w:ascii="Arial" w:eastAsia="Times New Roman" w:hAnsi="Arial" w:cs="Arial"/>
          <w:b/>
          <w:color w:val="2B2B2B"/>
          <w:sz w:val="20"/>
          <w:szCs w:val="20"/>
        </w:rPr>
      </w:pPr>
      <w:r w:rsidRPr="00190546">
        <w:rPr>
          <w:rFonts w:ascii="Arial" w:eastAsia="Times New Roman" w:hAnsi="Arial" w:cs="Arial"/>
          <w:b/>
          <w:color w:val="2B2B2B"/>
          <w:sz w:val="20"/>
          <w:szCs w:val="20"/>
        </w:rPr>
        <w:t>Recognizing the wide range of capacities and resources among older people</w:t>
      </w:r>
    </w:p>
    <w:p w:rsidR="00AB057E" w:rsidRPr="00190546" w:rsidRDefault="00AB057E" w:rsidP="00190546">
      <w:pPr>
        <w:pStyle w:val="ListParagraph"/>
        <w:numPr>
          <w:ilvl w:val="0"/>
          <w:numId w:val="14"/>
        </w:numPr>
        <w:rPr>
          <w:rFonts w:ascii="Arial" w:eastAsia="Times New Roman" w:hAnsi="Arial" w:cs="Arial"/>
          <w:b/>
          <w:color w:val="2B2B2B"/>
          <w:sz w:val="20"/>
          <w:szCs w:val="20"/>
        </w:rPr>
      </w:pPr>
      <w:r w:rsidRPr="00190546">
        <w:rPr>
          <w:rFonts w:ascii="Arial" w:eastAsia="Times New Roman" w:hAnsi="Arial" w:cs="Arial"/>
          <w:b/>
          <w:color w:val="2B2B2B"/>
          <w:sz w:val="20"/>
          <w:szCs w:val="20"/>
        </w:rPr>
        <w:t>Anticipating and responding flexibly to aging-related needs and preferences</w:t>
      </w:r>
    </w:p>
    <w:p w:rsidR="00AB057E" w:rsidRPr="00190546" w:rsidRDefault="00AB057E" w:rsidP="00190546">
      <w:pPr>
        <w:pStyle w:val="ListParagraph"/>
        <w:numPr>
          <w:ilvl w:val="0"/>
          <w:numId w:val="14"/>
        </w:numPr>
        <w:rPr>
          <w:rFonts w:ascii="Arial" w:eastAsia="Times New Roman" w:hAnsi="Arial" w:cs="Arial"/>
          <w:b/>
          <w:color w:val="2B2B2B"/>
          <w:sz w:val="20"/>
          <w:szCs w:val="20"/>
        </w:rPr>
      </w:pPr>
      <w:r w:rsidRPr="00190546">
        <w:rPr>
          <w:rFonts w:ascii="Arial" w:eastAsia="Times New Roman" w:hAnsi="Arial" w:cs="Arial"/>
          <w:b/>
          <w:color w:val="2B2B2B"/>
          <w:sz w:val="20"/>
          <w:szCs w:val="20"/>
        </w:rPr>
        <w:t>Respecting the decisions and lifestyle choices of age 50+ people</w:t>
      </w:r>
    </w:p>
    <w:p w:rsidR="00AB057E" w:rsidRPr="00190546" w:rsidRDefault="00AB057E" w:rsidP="00190546">
      <w:pPr>
        <w:pStyle w:val="ListParagraph"/>
        <w:numPr>
          <w:ilvl w:val="0"/>
          <w:numId w:val="14"/>
        </w:numPr>
        <w:rPr>
          <w:rFonts w:ascii="Arial" w:eastAsia="Times New Roman" w:hAnsi="Arial" w:cs="Arial"/>
          <w:b/>
          <w:color w:val="2B2B2B"/>
          <w:sz w:val="20"/>
          <w:szCs w:val="20"/>
        </w:rPr>
      </w:pPr>
      <w:r w:rsidRPr="00190546">
        <w:rPr>
          <w:rFonts w:ascii="Arial" w:eastAsia="Times New Roman" w:hAnsi="Arial" w:cs="Arial"/>
          <w:b/>
          <w:color w:val="2B2B2B"/>
          <w:sz w:val="20"/>
          <w:szCs w:val="20"/>
        </w:rPr>
        <w:t>Protecting and supporting older adults who are the most vulnerable</w:t>
      </w:r>
    </w:p>
    <w:p w:rsidR="00AB057E" w:rsidRPr="00190546" w:rsidRDefault="00AB057E" w:rsidP="00190546">
      <w:pPr>
        <w:pStyle w:val="ListParagraph"/>
        <w:numPr>
          <w:ilvl w:val="0"/>
          <w:numId w:val="14"/>
        </w:numPr>
        <w:rPr>
          <w:rFonts w:ascii="Arial" w:eastAsia="Times New Roman" w:hAnsi="Arial" w:cs="Arial"/>
          <w:b/>
          <w:color w:val="2B2B2B"/>
          <w:sz w:val="20"/>
          <w:szCs w:val="20"/>
        </w:rPr>
      </w:pPr>
      <w:r w:rsidRPr="00190546">
        <w:rPr>
          <w:rFonts w:ascii="Arial" w:eastAsia="Times New Roman" w:hAnsi="Arial" w:cs="Arial"/>
          <w:b/>
          <w:color w:val="2B2B2B"/>
          <w:sz w:val="20"/>
          <w:szCs w:val="20"/>
        </w:rPr>
        <w:t>Promoting the inclusion and contributions of older adults in all aspects of community life</w:t>
      </w:r>
    </w:p>
    <w:p w:rsidR="00C96AAB" w:rsidRPr="00AB057E" w:rsidRDefault="00AB057E" w:rsidP="00190546">
      <w:pPr>
        <w:rPr>
          <w:rFonts w:ascii="Arial" w:eastAsia="Times New Roman" w:hAnsi="Arial" w:cs="Arial"/>
          <w:color w:val="2B2B2B"/>
          <w:sz w:val="20"/>
          <w:szCs w:val="20"/>
        </w:rPr>
      </w:pPr>
      <w:r w:rsidRPr="00AB057E">
        <w:rPr>
          <w:rFonts w:ascii="Arial" w:eastAsia="Times New Roman" w:hAnsi="Arial" w:cs="Arial"/>
          <w:color w:val="2B2B2B"/>
          <w:sz w:val="20"/>
          <w:szCs w:val="20"/>
        </w:rPr>
        <w:t>And, because active aging is a life-long process, an age-friendly community is not just “elder-friendly.” Rather, an age-friendly community is friendly for people of all ages.</w:t>
      </w:r>
    </w:p>
    <w:p w:rsidR="00C96AAB" w:rsidRDefault="00C96AAB" w:rsidP="00190546">
      <w:pPr>
        <w:rPr>
          <w:b/>
        </w:rPr>
      </w:pPr>
      <w:r>
        <w:rPr>
          <w:b/>
        </w:rPr>
        <w:t>Step 2: Planning (Year 1-2)</w:t>
      </w:r>
    </w:p>
    <w:p w:rsidR="00C96AAB" w:rsidRDefault="00C96AAB" w:rsidP="00190546">
      <w:pPr>
        <w:rPr>
          <w:rFonts w:ascii="Arial" w:hAnsi="Arial" w:cs="Arial"/>
          <w:color w:val="4C4C4C"/>
          <w:sz w:val="21"/>
          <w:szCs w:val="21"/>
        </w:rPr>
      </w:pPr>
      <w:r>
        <w:rPr>
          <w:rFonts w:ascii="Arial" w:hAnsi="Arial" w:cs="Arial"/>
          <w:color w:val="4C4C4C"/>
          <w:sz w:val="21"/>
          <w:szCs w:val="21"/>
        </w:rPr>
        <w:t>Key steps to include in the planning phase:</w:t>
      </w:r>
    </w:p>
    <w:p w:rsidR="00C96AAB" w:rsidRDefault="00C96AAB" w:rsidP="00190546">
      <w:pPr>
        <w:rPr>
          <w:rFonts w:ascii="Arial" w:hAnsi="Arial" w:cs="Arial"/>
          <w:color w:val="2B2B2B"/>
          <w:sz w:val="20"/>
          <w:szCs w:val="20"/>
        </w:rPr>
      </w:pPr>
      <w:r>
        <w:rPr>
          <w:rFonts w:ascii="Arial" w:hAnsi="Arial" w:cs="Arial"/>
          <w:color w:val="2B2B2B"/>
          <w:sz w:val="20"/>
          <w:szCs w:val="20"/>
        </w:rPr>
        <w:t>Establish mechanisms for involving older people in all stages of the age-friendly cities and communities process (e.g., create an advisory citizens’ committee)</w:t>
      </w:r>
    </w:p>
    <w:p w:rsidR="00C96AAB" w:rsidRDefault="00C96AAB" w:rsidP="00190546">
      <w:pPr>
        <w:rPr>
          <w:rFonts w:ascii="Arial" w:hAnsi="Arial" w:cs="Arial"/>
          <w:color w:val="2B2B2B"/>
          <w:sz w:val="20"/>
          <w:szCs w:val="20"/>
        </w:rPr>
      </w:pPr>
      <w:r>
        <w:rPr>
          <w:rFonts w:ascii="Arial" w:hAnsi="Arial" w:cs="Arial"/>
          <w:color w:val="2B2B2B"/>
          <w:sz w:val="20"/>
          <w:szCs w:val="20"/>
        </w:rPr>
        <w:t>Conduct a comprehensive and inclusive baseline assessment of the age-friendliness of the community</w:t>
      </w:r>
    </w:p>
    <w:p w:rsidR="00C96AAB" w:rsidRDefault="00C96AAB" w:rsidP="00190546">
      <w:pPr>
        <w:rPr>
          <w:rFonts w:ascii="Arial" w:hAnsi="Arial" w:cs="Arial"/>
          <w:color w:val="2B2B2B"/>
          <w:sz w:val="20"/>
          <w:szCs w:val="20"/>
        </w:rPr>
      </w:pPr>
      <w:r>
        <w:rPr>
          <w:rFonts w:ascii="Arial" w:hAnsi="Arial" w:cs="Arial"/>
          <w:color w:val="2B2B2B"/>
          <w:sz w:val="20"/>
          <w:szCs w:val="20"/>
        </w:rPr>
        <w:t>Develop a three-year community-wide action plan based on assessment findings</w:t>
      </w:r>
    </w:p>
    <w:p w:rsidR="00C96AAB" w:rsidRDefault="00C96AAB" w:rsidP="00190546">
      <w:pPr>
        <w:rPr>
          <w:rFonts w:ascii="Arial" w:hAnsi="Arial" w:cs="Arial"/>
          <w:color w:val="2B2B2B"/>
          <w:sz w:val="20"/>
          <w:szCs w:val="20"/>
        </w:rPr>
      </w:pPr>
      <w:r>
        <w:rPr>
          <w:rFonts w:ascii="Arial" w:hAnsi="Arial" w:cs="Arial"/>
          <w:color w:val="2B2B2B"/>
          <w:sz w:val="20"/>
          <w:szCs w:val="20"/>
        </w:rPr>
        <w:t>Identify indicators to monitor progress against this plan</w:t>
      </w:r>
    </w:p>
    <w:p w:rsidR="00C96AAB" w:rsidRDefault="00C96AAB" w:rsidP="00190546">
      <w:pPr>
        <w:rPr>
          <w:b/>
        </w:rPr>
      </w:pPr>
    </w:p>
    <w:p w:rsidR="00C96AAB" w:rsidRDefault="00C96AAB" w:rsidP="00190546">
      <w:pPr>
        <w:rPr>
          <w:b/>
        </w:rPr>
      </w:pPr>
      <w:r>
        <w:rPr>
          <w:b/>
        </w:rPr>
        <w:t>Step 3: Implementation (Year 3-4)</w:t>
      </w:r>
    </w:p>
    <w:p w:rsidR="00C96AAB" w:rsidRDefault="00C96AAB" w:rsidP="00190546">
      <w:pPr>
        <w:rPr>
          <w:rFonts w:ascii="Arial" w:hAnsi="Arial" w:cs="Arial"/>
          <w:color w:val="2B2B2B"/>
          <w:sz w:val="20"/>
          <w:szCs w:val="20"/>
        </w:rPr>
      </w:pPr>
      <w:r>
        <w:rPr>
          <w:rFonts w:ascii="Arial" w:hAnsi="Arial" w:cs="Arial"/>
          <w:color w:val="2B2B2B"/>
          <w:sz w:val="20"/>
          <w:szCs w:val="20"/>
        </w:rPr>
        <w:t>After the endorsement of the action plan, the next phase is implementation, which is when the community commits to moving forward. </w:t>
      </w:r>
    </w:p>
    <w:p w:rsidR="00C96AAB" w:rsidRPr="00C96AAB" w:rsidRDefault="00C96AAB" w:rsidP="00190546">
      <w:pPr>
        <w:rPr>
          <w:rFonts w:ascii="Arial" w:hAnsi="Arial" w:cs="Arial"/>
          <w:color w:val="2B2B2B"/>
          <w:sz w:val="20"/>
          <w:szCs w:val="20"/>
        </w:rPr>
      </w:pPr>
      <w:r>
        <w:rPr>
          <w:rFonts w:ascii="Arial" w:hAnsi="Arial" w:cs="Arial"/>
          <w:color w:val="2B2B2B"/>
          <w:sz w:val="20"/>
          <w:szCs w:val="20"/>
        </w:rPr>
        <w:t>At the five-year mark the community is required to submit a progress report using the indicators that had been developed in the action plan. This process leads to a cycle of continuous improvement. As the action plan priorities are accomplished, new ones are identified and form the basis for additional planning and implementation.</w:t>
      </w:r>
      <w:r>
        <w:rPr>
          <w:rFonts w:ascii="Arial" w:hAnsi="Arial" w:cs="Arial"/>
          <w:color w:val="2B2B2B"/>
          <w:sz w:val="20"/>
          <w:szCs w:val="20"/>
        </w:rPr>
        <w:br/>
      </w:r>
      <w:r>
        <w:rPr>
          <w:rFonts w:ascii="Arial" w:hAnsi="Arial" w:cs="Arial"/>
          <w:color w:val="2B2B2B"/>
          <w:sz w:val="20"/>
          <w:szCs w:val="20"/>
        </w:rPr>
        <w:br/>
        <w:t xml:space="preserve">Evaluation becomes an ongoing process as well, demonstrating progress against the baseline </w:t>
      </w:r>
      <w:r>
        <w:rPr>
          <w:rFonts w:ascii="Arial" w:hAnsi="Arial" w:cs="Arial"/>
          <w:color w:val="2B2B2B"/>
          <w:sz w:val="20"/>
          <w:szCs w:val="20"/>
        </w:rPr>
        <w:lastRenderedPageBreak/>
        <w:t>assessments previously identified. Evaluation helps determine ways to improve the action plan and demonstrate whether the strategies and action items are meeting the intended outcomes.</w:t>
      </w:r>
    </w:p>
    <w:p w:rsidR="00C96AAB" w:rsidRDefault="00C96AAB" w:rsidP="00190546">
      <w:pPr>
        <w:rPr>
          <w:b/>
        </w:rPr>
      </w:pPr>
      <w:r>
        <w:rPr>
          <w:b/>
        </w:rPr>
        <w:t>Step 4: Evaluation (Year 4-5)</w:t>
      </w:r>
    </w:p>
    <w:p w:rsidR="00C96AAB" w:rsidRDefault="00C96AAB" w:rsidP="00190546">
      <w:pPr>
        <w:rPr>
          <w:rFonts w:ascii="Arial" w:hAnsi="Arial" w:cs="Arial"/>
          <w:color w:val="2B2B2B"/>
          <w:sz w:val="20"/>
          <w:szCs w:val="20"/>
        </w:rPr>
      </w:pPr>
      <w:r>
        <w:rPr>
          <w:rFonts w:ascii="Arial" w:hAnsi="Arial" w:cs="Arial"/>
          <w:color w:val="2B2B2B"/>
          <w:sz w:val="20"/>
          <w:szCs w:val="20"/>
        </w:rPr>
        <w:t>As a community enrolled in the AARP Network of Age-Friendly Communities, it is important to both conduct a community assessment and determine the key indicators to monitor as the community’s action plan is developed and implemented.</w:t>
      </w:r>
    </w:p>
    <w:p w:rsidR="00C96AAB" w:rsidRDefault="00C96AAB" w:rsidP="00190546">
      <w:pPr>
        <w:rPr>
          <w:rFonts w:ascii="Arial" w:hAnsi="Arial" w:cs="Arial"/>
          <w:color w:val="2B2B2B"/>
          <w:sz w:val="20"/>
          <w:szCs w:val="20"/>
        </w:rPr>
      </w:pPr>
      <w:r>
        <w:rPr>
          <w:rFonts w:ascii="Arial" w:hAnsi="Arial" w:cs="Arial"/>
          <w:color w:val="2B2B2B"/>
          <w:sz w:val="20"/>
          <w:szCs w:val="20"/>
        </w:rPr>
        <w:t>AARP has created a survey that asks residents to indicate what they perceive is available in their communities and what they consider to be important. This survey can be used to establish baseline data, help uncover gaps, establish community priorities and support the development of the plan.</w:t>
      </w:r>
    </w:p>
    <w:p w:rsidR="00C96AAB" w:rsidRDefault="00C96AAB" w:rsidP="00190546">
      <w:pPr>
        <w:rPr>
          <w:rFonts w:ascii="Arial" w:hAnsi="Arial" w:cs="Arial"/>
          <w:color w:val="2B2B2B"/>
          <w:sz w:val="20"/>
          <w:szCs w:val="20"/>
        </w:rPr>
      </w:pPr>
      <w:r>
        <w:rPr>
          <w:rFonts w:ascii="Arial" w:hAnsi="Arial" w:cs="Arial"/>
          <w:color w:val="2B2B2B"/>
          <w:sz w:val="20"/>
          <w:szCs w:val="20"/>
        </w:rPr>
        <w:t>Additional instruments may also be available, and other surveys that have been conducted by the community can also provide useful data.</w:t>
      </w:r>
    </w:p>
    <w:p w:rsidR="00C96AAB" w:rsidRDefault="00C96AAB" w:rsidP="00190546">
      <w:pPr>
        <w:rPr>
          <w:rFonts w:ascii="Arial" w:hAnsi="Arial" w:cs="Arial"/>
          <w:color w:val="2B2B2B"/>
          <w:sz w:val="20"/>
          <w:szCs w:val="20"/>
        </w:rPr>
      </w:pPr>
      <w:r>
        <w:rPr>
          <w:rFonts w:ascii="Arial" w:hAnsi="Arial" w:cs="Arial"/>
          <w:color w:val="2B2B2B"/>
          <w:sz w:val="20"/>
          <w:szCs w:val="20"/>
        </w:rPr>
        <w:t>To develop a suitable monitoring and evaluation process it is necessary to understand the priorities of the individual community in question and establish a baseline within the context of the World Health Organization’s eight domains of a livable community. Once these parameters are established, data can be evaluated and monitored over time to determine areas of progress.</w:t>
      </w:r>
    </w:p>
    <w:p w:rsidR="00C96AAB" w:rsidRDefault="00C96AAB" w:rsidP="00190546">
      <w:pPr>
        <w:rPr>
          <w:b/>
        </w:rPr>
      </w:pPr>
    </w:p>
    <w:p w:rsidR="00C96AAB" w:rsidRDefault="00C96AAB" w:rsidP="00190546">
      <w:pPr>
        <w:rPr>
          <w:b/>
        </w:rPr>
      </w:pPr>
      <w:r>
        <w:rPr>
          <w:b/>
        </w:rPr>
        <w:t>Step 5: Connecting (Year 5+)</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The AARP Network of Age-Friendly Communities serves as a catalyst to educate, encourage, promote and recognize the improvements that make cities, towns and counties more supportive, not only of their older residents but for residents of all ages.</w:t>
      </w:r>
      <w:r w:rsidRPr="00C96AAB">
        <w:rPr>
          <w:rFonts w:ascii="Arial" w:eastAsia="Times New Roman" w:hAnsi="Arial" w:cs="Arial"/>
          <w:color w:val="2B2B2B"/>
          <w:sz w:val="20"/>
          <w:szCs w:val="20"/>
        </w:rPr>
        <w:br/>
      </w:r>
      <w:r w:rsidRPr="00C96AAB">
        <w:rPr>
          <w:rFonts w:ascii="Arial" w:eastAsia="Times New Roman" w:hAnsi="Arial" w:cs="Arial"/>
          <w:color w:val="2B2B2B"/>
          <w:sz w:val="20"/>
          <w:szCs w:val="20"/>
        </w:rPr>
        <w:br/>
        <w:t>AARP seeks to provide American cities, towns and counties with the resources they need to become more age-friendly by tapping into national and global research, models and best practices.  </w:t>
      </w:r>
      <w:r w:rsidRPr="00C96AAB">
        <w:rPr>
          <w:rFonts w:ascii="Arial" w:eastAsia="Times New Roman" w:hAnsi="Arial" w:cs="Arial"/>
          <w:color w:val="2B2B2B"/>
          <w:sz w:val="20"/>
          <w:szCs w:val="20"/>
        </w:rPr>
        <w:br/>
      </w:r>
      <w:r w:rsidRPr="00C96AAB">
        <w:rPr>
          <w:rFonts w:ascii="Arial" w:eastAsia="Times New Roman" w:hAnsi="Arial" w:cs="Arial"/>
          <w:color w:val="2B2B2B"/>
          <w:sz w:val="20"/>
          <w:szCs w:val="20"/>
        </w:rPr>
        <w:br/>
        <w:t>The AARP Network of Age-Friendly Communities provides members with opportunities to:</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Establish contacts and information sharing among participating U.S. communities</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Organize knowledge exchange opportunities nationally and internationally</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Share information to use ideas and best practices more effectively, and better understand and appreciate age-related issues, concerns and success stories</w:t>
      </w:r>
    </w:p>
    <w:p w:rsidR="00C96AAB" w:rsidRPr="00C96AAB" w:rsidRDefault="00C96AAB" w:rsidP="00190546">
      <w:pPr>
        <w:rPr>
          <w:rFonts w:ascii="Arial" w:eastAsia="Times New Roman" w:hAnsi="Arial" w:cs="Arial"/>
          <w:color w:val="2B2B2B"/>
          <w:sz w:val="20"/>
          <w:szCs w:val="20"/>
        </w:rPr>
      </w:pPr>
      <w:r w:rsidRPr="00C96AAB">
        <w:rPr>
          <w:rFonts w:ascii="Arial" w:eastAsia="Times New Roman" w:hAnsi="Arial" w:cs="Arial"/>
          <w:color w:val="2B2B2B"/>
          <w:sz w:val="20"/>
          <w:szCs w:val="20"/>
        </w:rPr>
        <w:t>Each fall, AARP Education &amp; Outreach Livable Communities hosts an age-friendly conference of community representatives and AARP staff.</w:t>
      </w:r>
    </w:p>
    <w:p w:rsidR="00C96AAB" w:rsidRDefault="00C96AAB" w:rsidP="00190546">
      <w:pPr>
        <w:rPr>
          <w:b/>
        </w:rPr>
      </w:pPr>
    </w:p>
    <w:p w:rsidR="00274876" w:rsidRDefault="00274876" w:rsidP="00190546">
      <w:pPr>
        <w:rPr>
          <w:b/>
        </w:rPr>
      </w:pPr>
    </w:p>
    <w:p w:rsidR="00274876" w:rsidRPr="00274876" w:rsidRDefault="00274876" w:rsidP="00274876">
      <w:pPr>
        <w:jc w:val="center"/>
        <w:rPr>
          <w:b/>
          <w:sz w:val="24"/>
        </w:rPr>
      </w:pPr>
      <w:hyperlink r:id="rId9" w:history="1">
        <w:r w:rsidRPr="00CE5B46">
          <w:rPr>
            <w:rStyle w:val="Hyperlink"/>
            <w:b/>
            <w:sz w:val="24"/>
          </w:rPr>
          <w:t>http://www.who.int/ageing/publications/Age_friendly_cities_checklist.pdf</w:t>
        </w:r>
      </w:hyperlink>
      <w:r>
        <w:rPr>
          <w:b/>
          <w:sz w:val="24"/>
        </w:rPr>
        <w:t xml:space="preserve"> </w:t>
      </w:r>
    </w:p>
    <w:sectPr w:rsidR="00274876" w:rsidRPr="00274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7F8D"/>
    <w:multiLevelType w:val="multilevel"/>
    <w:tmpl w:val="1B88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CA1728"/>
    <w:multiLevelType w:val="multilevel"/>
    <w:tmpl w:val="FCC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E2070"/>
    <w:multiLevelType w:val="multilevel"/>
    <w:tmpl w:val="579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806DB7"/>
    <w:multiLevelType w:val="hybridMultilevel"/>
    <w:tmpl w:val="B520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763D0"/>
    <w:multiLevelType w:val="multilevel"/>
    <w:tmpl w:val="C37C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342462"/>
    <w:multiLevelType w:val="multilevel"/>
    <w:tmpl w:val="D36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530175"/>
    <w:multiLevelType w:val="multilevel"/>
    <w:tmpl w:val="23EE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C749E5"/>
    <w:multiLevelType w:val="hybridMultilevel"/>
    <w:tmpl w:val="3288E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5773C6"/>
    <w:multiLevelType w:val="multilevel"/>
    <w:tmpl w:val="9AA6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CE73C5"/>
    <w:multiLevelType w:val="multilevel"/>
    <w:tmpl w:val="3084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00364E"/>
    <w:multiLevelType w:val="multilevel"/>
    <w:tmpl w:val="1BC8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FF6F8C"/>
    <w:multiLevelType w:val="multilevel"/>
    <w:tmpl w:val="336C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DE4A76"/>
    <w:multiLevelType w:val="multilevel"/>
    <w:tmpl w:val="B804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914B2C"/>
    <w:multiLevelType w:val="multilevel"/>
    <w:tmpl w:val="556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0"/>
  </w:num>
  <w:num w:numId="4">
    <w:abstractNumId w:val="6"/>
  </w:num>
  <w:num w:numId="5">
    <w:abstractNumId w:val="2"/>
  </w:num>
  <w:num w:numId="6">
    <w:abstractNumId w:val="4"/>
  </w:num>
  <w:num w:numId="7">
    <w:abstractNumId w:val="9"/>
  </w:num>
  <w:num w:numId="8">
    <w:abstractNumId w:val="1"/>
  </w:num>
  <w:num w:numId="9">
    <w:abstractNumId w:val="5"/>
  </w:num>
  <w:num w:numId="10">
    <w:abstractNumId w:val="8"/>
  </w:num>
  <w:num w:numId="11">
    <w:abstractNumId w:val="13"/>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AB"/>
    <w:rsid w:val="00190546"/>
    <w:rsid w:val="00274876"/>
    <w:rsid w:val="004615F2"/>
    <w:rsid w:val="00AB057E"/>
    <w:rsid w:val="00C81AE8"/>
    <w:rsid w:val="00C9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6A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6AAB"/>
  </w:style>
  <w:style w:type="character" w:styleId="Hyperlink">
    <w:name w:val="Hyperlink"/>
    <w:basedOn w:val="DefaultParagraphFont"/>
    <w:uiPriority w:val="99"/>
    <w:unhideWhenUsed/>
    <w:rsid w:val="00C96AAB"/>
    <w:rPr>
      <w:color w:val="0000FF"/>
      <w:u w:val="single"/>
    </w:rPr>
  </w:style>
  <w:style w:type="character" w:customStyle="1" w:styleId="Heading3Char">
    <w:name w:val="Heading 3 Char"/>
    <w:basedOn w:val="DefaultParagraphFont"/>
    <w:link w:val="Heading3"/>
    <w:uiPriority w:val="9"/>
    <w:rsid w:val="00C96AAB"/>
    <w:rPr>
      <w:rFonts w:ascii="Times New Roman" w:eastAsia="Times New Roman" w:hAnsi="Times New Roman" w:cs="Times New Roman"/>
      <w:b/>
      <w:bCs/>
      <w:sz w:val="27"/>
      <w:szCs w:val="27"/>
    </w:rPr>
  </w:style>
  <w:style w:type="paragraph" w:styleId="ListParagraph">
    <w:name w:val="List Paragraph"/>
    <w:basedOn w:val="Normal"/>
    <w:uiPriority w:val="34"/>
    <w:qFormat/>
    <w:rsid w:val="00190546"/>
    <w:pPr>
      <w:ind w:left="720"/>
      <w:contextualSpacing/>
    </w:pPr>
  </w:style>
  <w:style w:type="paragraph" w:styleId="BalloonText">
    <w:name w:val="Balloon Text"/>
    <w:basedOn w:val="Normal"/>
    <w:link w:val="BalloonTextChar"/>
    <w:uiPriority w:val="99"/>
    <w:semiHidden/>
    <w:unhideWhenUsed/>
    <w:rsid w:val="0027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6A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6AAB"/>
  </w:style>
  <w:style w:type="character" w:styleId="Hyperlink">
    <w:name w:val="Hyperlink"/>
    <w:basedOn w:val="DefaultParagraphFont"/>
    <w:uiPriority w:val="99"/>
    <w:unhideWhenUsed/>
    <w:rsid w:val="00C96AAB"/>
    <w:rPr>
      <w:color w:val="0000FF"/>
      <w:u w:val="single"/>
    </w:rPr>
  </w:style>
  <w:style w:type="character" w:customStyle="1" w:styleId="Heading3Char">
    <w:name w:val="Heading 3 Char"/>
    <w:basedOn w:val="DefaultParagraphFont"/>
    <w:link w:val="Heading3"/>
    <w:uiPriority w:val="9"/>
    <w:rsid w:val="00C96AAB"/>
    <w:rPr>
      <w:rFonts w:ascii="Times New Roman" w:eastAsia="Times New Roman" w:hAnsi="Times New Roman" w:cs="Times New Roman"/>
      <w:b/>
      <w:bCs/>
      <w:sz w:val="27"/>
      <w:szCs w:val="27"/>
    </w:rPr>
  </w:style>
  <w:style w:type="paragraph" w:styleId="ListParagraph">
    <w:name w:val="List Paragraph"/>
    <w:basedOn w:val="Normal"/>
    <w:uiPriority w:val="34"/>
    <w:qFormat/>
    <w:rsid w:val="00190546"/>
    <w:pPr>
      <w:ind w:left="720"/>
      <w:contextualSpacing/>
    </w:pPr>
  </w:style>
  <w:style w:type="paragraph" w:styleId="BalloonText">
    <w:name w:val="Balloon Text"/>
    <w:basedOn w:val="Normal"/>
    <w:link w:val="BalloonTextChar"/>
    <w:uiPriority w:val="99"/>
    <w:semiHidden/>
    <w:unhideWhenUsed/>
    <w:rsid w:val="0027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8649">
      <w:bodyDiv w:val="1"/>
      <w:marLeft w:val="0"/>
      <w:marRight w:val="0"/>
      <w:marTop w:val="0"/>
      <w:marBottom w:val="0"/>
      <w:divBdr>
        <w:top w:val="none" w:sz="0" w:space="0" w:color="auto"/>
        <w:left w:val="none" w:sz="0" w:space="0" w:color="auto"/>
        <w:bottom w:val="none" w:sz="0" w:space="0" w:color="auto"/>
        <w:right w:val="none" w:sz="0" w:space="0" w:color="auto"/>
      </w:divBdr>
    </w:div>
    <w:div w:id="92096376">
      <w:bodyDiv w:val="1"/>
      <w:marLeft w:val="0"/>
      <w:marRight w:val="0"/>
      <w:marTop w:val="0"/>
      <w:marBottom w:val="0"/>
      <w:divBdr>
        <w:top w:val="none" w:sz="0" w:space="0" w:color="auto"/>
        <w:left w:val="none" w:sz="0" w:space="0" w:color="auto"/>
        <w:bottom w:val="none" w:sz="0" w:space="0" w:color="auto"/>
        <w:right w:val="none" w:sz="0" w:space="0" w:color="auto"/>
      </w:divBdr>
    </w:div>
    <w:div w:id="381252799">
      <w:bodyDiv w:val="1"/>
      <w:marLeft w:val="0"/>
      <w:marRight w:val="0"/>
      <w:marTop w:val="0"/>
      <w:marBottom w:val="0"/>
      <w:divBdr>
        <w:top w:val="none" w:sz="0" w:space="0" w:color="auto"/>
        <w:left w:val="none" w:sz="0" w:space="0" w:color="auto"/>
        <w:bottom w:val="none" w:sz="0" w:space="0" w:color="auto"/>
        <w:right w:val="none" w:sz="0" w:space="0" w:color="auto"/>
      </w:divBdr>
    </w:div>
    <w:div w:id="475875567">
      <w:bodyDiv w:val="1"/>
      <w:marLeft w:val="0"/>
      <w:marRight w:val="0"/>
      <w:marTop w:val="0"/>
      <w:marBottom w:val="0"/>
      <w:divBdr>
        <w:top w:val="none" w:sz="0" w:space="0" w:color="auto"/>
        <w:left w:val="none" w:sz="0" w:space="0" w:color="auto"/>
        <w:bottom w:val="none" w:sz="0" w:space="0" w:color="auto"/>
        <w:right w:val="none" w:sz="0" w:space="0" w:color="auto"/>
      </w:divBdr>
    </w:div>
    <w:div w:id="485896145">
      <w:bodyDiv w:val="1"/>
      <w:marLeft w:val="0"/>
      <w:marRight w:val="0"/>
      <w:marTop w:val="0"/>
      <w:marBottom w:val="0"/>
      <w:divBdr>
        <w:top w:val="none" w:sz="0" w:space="0" w:color="auto"/>
        <w:left w:val="none" w:sz="0" w:space="0" w:color="auto"/>
        <w:bottom w:val="none" w:sz="0" w:space="0" w:color="auto"/>
        <w:right w:val="none" w:sz="0" w:space="0" w:color="auto"/>
      </w:divBdr>
    </w:div>
    <w:div w:id="589460844">
      <w:bodyDiv w:val="1"/>
      <w:marLeft w:val="0"/>
      <w:marRight w:val="0"/>
      <w:marTop w:val="0"/>
      <w:marBottom w:val="0"/>
      <w:divBdr>
        <w:top w:val="none" w:sz="0" w:space="0" w:color="auto"/>
        <w:left w:val="none" w:sz="0" w:space="0" w:color="auto"/>
        <w:bottom w:val="none" w:sz="0" w:space="0" w:color="auto"/>
        <w:right w:val="none" w:sz="0" w:space="0" w:color="auto"/>
      </w:divBdr>
    </w:div>
    <w:div w:id="980890199">
      <w:bodyDiv w:val="1"/>
      <w:marLeft w:val="0"/>
      <w:marRight w:val="0"/>
      <w:marTop w:val="0"/>
      <w:marBottom w:val="0"/>
      <w:divBdr>
        <w:top w:val="none" w:sz="0" w:space="0" w:color="auto"/>
        <w:left w:val="none" w:sz="0" w:space="0" w:color="auto"/>
        <w:bottom w:val="none" w:sz="0" w:space="0" w:color="auto"/>
        <w:right w:val="none" w:sz="0" w:space="0" w:color="auto"/>
      </w:divBdr>
    </w:div>
    <w:div w:id="1043291130">
      <w:bodyDiv w:val="1"/>
      <w:marLeft w:val="0"/>
      <w:marRight w:val="0"/>
      <w:marTop w:val="0"/>
      <w:marBottom w:val="0"/>
      <w:divBdr>
        <w:top w:val="none" w:sz="0" w:space="0" w:color="auto"/>
        <w:left w:val="none" w:sz="0" w:space="0" w:color="auto"/>
        <w:bottom w:val="none" w:sz="0" w:space="0" w:color="auto"/>
        <w:right w:val="none" w:sz="0" w:space="0" w:color="auto"/>
      </w:divBdr>
    </w:div>
    <w:div w:id="1046880492">
      <w:bodyDiv w:val="1"/>
      <w:marLeft w:val="0"/>
      <w:marRight w:val="0"/>
      <w:marTop w:val="0"/>
      <w:marBottom w:val="0"/>
      <w:divBdr>
        <w:top w:val="none" w:sz="0" w:space="0" w:color="auto"/>
        <w:left w:val="none" w:sz="0" w:space="0" w:color="auto"/>
        <w:bottom w:val="none" w:sz="0" w:space="0" w:color="auto"/>
        <w:right w:val="none" w:sz="0" w:space="0" w:color="auto"/>
      </w:divBdr>
    </w:div>
    <w:div w:id="1172254991">
      <w:bodyDiv w:val="1"/>
      <w:marLeft w:val="0"/>
      <w:marRight w:val="0"/>
      <w:marTop w:val="0"/>
      <w:marBottom w:val="0"/>
      <w:divBdr>
        <w:top w:val="none" w:sz="0" w:space="0" w:color="auto"/>
        <w:left w:val="none" w:sz="0" w:space="0" w:color="auto"/>
        <w:bottom w:val="none" w:sz="0" w:space="0" w:color="auto"/>
        <w:right w:val="none" w:sz="0" w:space="0" w:color="auto"/>
      </w:divBdr>
    </w:div>
    <w:div w:id="1415278092">
      <w:bodyDiv w:val="1"/>
      <w:marLeft w:val="0"/>
      <w:marRight w:val="0"/>
      <w:marTop w:val="0"/>
      <w:marBottom w:val="0"/>
      <w:divBdr>
        <w:top w:val="none" w:sz="0" w:space="0" w:color="auto"/>
        <w:left w:val="none" w:sz="0" w:space="0" w:color="auto"/>
        <w:bottom w:val="none" w:sz="0" w:space="0" w:color="auto"/>
        <w:right w:val="none" w:sz="0" w:space="0" w:color="auto"/>
      </w:divBdr>
    </w:div>
    <w:div w:id="17021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rp.org/states/" TargetMode="External"/><Relationship Id="rId3" Type="http://schemas.microsoft.com/office/2007/relationships/stylesWithEffects" Target="stylesWithEffects.xml"/><Relationship Id="rId7" Type="http://schemas.openxmlformats.org/officeDocument/2006/relationships/hyperlink" Target="http://www.aarp.org/content/dam/aarp/home-and-family/livable-communities/2013-12/3-age-friendly-cities-checkli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rp.org/livable-communities/info-2014/slideshow-eight-domains-of-livability.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o.int/ageing/publications/Age_friendly_cities_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Beyer</dc:creator>
  <cp:lastModifiedBy>Laura Beyer</cp:lastModifiedBy>
  <cp:revision>3</cp:revision>
  <cp:lastPrinted>2015-05-19T18:22:00Z</cp:lastPrinted>
  <dcterms:created xsi:type="dcterms:W3CDTF">2015-02-02T21:01:00Z</dcterms:created>
  <dcterms:modified xsi:type="dcterms:W3CDTF">2015-05-19T18:28:00Z</dcterms:modified>
</cp:coreProperties>
</file>